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rekonstravimas/_layouts/15/DocIdRedir.aspx?ID=PVIS-404251543-155</Url>
      <Description>PVIS-404251543-155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PVIS-404251543-155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DCC537-6BE0-401F-94C2-585A93CD8471}"/>
</file>

<file path=customXml/itemProps3.xml><?xml version="1.0" encoding="utf-8"?>
<ds:datastoreItem xmlns:ds="http://schemas.openxmlformats.org/officeDocument/2006/customXml" ds:itemID="{F39523BF-9EB8-4A2F-8D29-C9F4A2EBAB54}"/>
</file>

<file path=customXml/itemProps4.xml><?xml version="1.0" encoding="utf-8"?>
<ds:datastoreItem xmlns:ds="http://schemas.openxmlformats.org/officeDocument/2006/customXml" ds:itemID="{0F17E17F-039A-460A-95D2-81393BBA32F6}"/>
</file>

<file path=customXml/itemProps5.xml><?xml version="1.0" encoding="utf-8"?>
<ds:datastoreItem xmlns:ds="http://schemas.openxmlformats.org/officeDocument/2006/customXml" ds:itemID="{BFBBC925-A6E4-4166-980A-9503999F1A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0x01010066872F3CC8F7D84995438B893169A080020086F3AC6206BEAE4F9799B690E2C936D7</vt:lpwstr>
  </property>
  <property fmtid="{D5CDD505-2E9C-101B-9397-08002B2CF9AE}" pid="3" name="_dlc_DocIdItemGuid">
    <vt:lpwstr>9a47a435-6fc1-430e-8d64-57546c88bd79</vt:lpwstr>
  </property>
</Properties>
</file>